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8F6AF4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44"/>
          <w:szCs w:val="44"/>
        </w:rPr>
      </w:pPr>
    </w:p>
    <w:p w14:paraId="7CCBB1DF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呼伦贝尔市第二人民医院（呼伦贝尔市传染病医院）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入侵防御系统授权更新服务</w:t>
      </w:r>
    </w:p>
    <w:p w14:paraId="5C4C2F1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采购需求</w:t>
      </w:r>
    </w:p>
    <w:p w14:paraId="47A510F1">
      <w:pPr>
        <w:pStyle w:val="2"/>
        <w:rPr>
          <w:rFonts w:hint="eastAsia"/>
        </w:rPr>
      </w:pPr>
    </w:p>
    <w:p w14:paraId="22382AF8">
      <w:pPr>
        <w:pStyle w:val="21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一、项目概况</w:t>
      </w:r>
    </w:p>
    <w:p w14:paraId="0D53C82D">
      <w:pPr>
        <w:ind w:firstLine="640" w:firstLineChars="200"/>
        <w:rPr>
          <w:rFonts w:hint="eastAsia" w:ascii="仿宋" w:hAnsi="仿宋" w:eastAsia="仿宋" w:cs="仿宋"/>
          <w:kern w:val="0"/>
          <w:sz w:val="32"/>
          <w:szCs w:val="32"/>
        </w:rPr>
      </w:pPr>
      <w:r>
        <w:rPr>
          <w:rFonts w:hint="eastAsia" w:ascii="仿宋" w:hAnsi="仿宋" w:eastAsia="仿宋"/>
          <w:kern w:val="0"/>
          <w:sz w:val="32"/>
          <w:szCs w:val="32"/>
        </w:rPr>
        <w:t>随着医疗信息化发展，网络安全威胁日益复杂，医院需构建系统性防护体系。‌我院已部署</w:t>
      </w:r>
      <w:r>
        <w:rPr>
          <w:rFonts w:hint="eastAsia" w:ascii="仿宋" w:hAnsi="仿宋" w:eastAsia="仿宋"/>
          <w:kern w:val="0"/>
          <w:sz w:val="32"/>
          <w:szCs w:val="32"/>
          <w:lang w:val="en-US" w:eastAsia="zh-CN"/>
        </w:rPr>
        <w:t>入侵防御</w:t>
      </w:r>
      <w:r>
        <w:rPr>
          <w:rFonts w:hint="eastAsia" w:ascii="仿宋" w:hAnsi="仿宋" w:eastAsia="仿宋" w:cs="仿宋"/>
          <w:kern w:val="0"/>
          <w:sz w:val="32"/>
          <w:szCs w:val="32"/>
        </w:rPr>
        <w:t>系统，通过集成多种先进安全技术，实现对网络威胁的全方位检测与深度防御</w:t>
      </w:r>
      <w:r>
        <w:rPr>
          <w:rFonts w:hint="eastAsia" w:ascii="仿宋" w:hAnsi="仿宋" w:eastAsia="仿宋" w:cs="仿宋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特别是医院的关键区域进行24小时实时监控。</w:t>
      </w:r>
      <w:r>
        <w:rPr>
          <w:rFonts w:hint="eastAsia" w:ascii="仿宋" w:hAnsi="仿宋" w:eastAsia="仿宋" w:cs="仿宋"/>
          <w:kern w:val="0"/>
          <w:sz w:val="32"/>
          <w:szCs w:val="32"/>
        </w:rPr>
        <w:t>但这套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入侵防御</w:t>
      </w:r>
      <w:r>
        <w:rPr>
          <w:rFonts w:hint="eastAsia" w:ascii="仿宋" w:hAnsi="仿宋" w:eastAsia="仿宋" w:cs="仿宋"/>
          <w:kern w:val="0"/>
          <w:sz w:val="32"/>
          <w:szCs w:val="32"/>
        </w:rPr>
        <w:t>系统的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规则库</w:t>
      </w:r>
      <w:r>
        <w:rPr>
          <w:rFonts w:hint="eastAsia" w:ascii="仿宋" w:hAnsi="仿宋" w:eastAsia="仿宋" w:cs="仿宋"/>
          <w:kern w:val="0"/>
          <w:sz w:val="32"/>
          <w:szCs w:val="32"/>
        </w:rPr>
        <w:t>已到期，为确保系统持续稳定运行，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保障物理安全、数据安全和业务连续性等方面，</w:t>
      </w:r>
      <w:r>
        <w:rPr>
          <w:rFonts w:hint="eastAsia" w:ascii="仿宋" w:hAnsi="仿宋" w:eastAsia="仿宋" w:cs="仿宋"/>
          <w:kern w:val="0"/>
          <w:sz w:val="32"/>
          <w:szCs w:val="32"/>
        </w:rPr>
        <w:t>现准备对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该</w:t>
      </w:r>
      <w:r>
        <w:rPr>
          <w:rFonts w:hint="eastAsia" w:ascii="仿宋" w:hAnsi="仿宋" w:eastAsia="仿宋" w:cs="仿宋"/>
          <w:kern w:val="0"/>
          <w:sz w:val="32"/>
          <w:szCs w:val="32"/>
        </w:rPr>
        <w:t>系统进行</w:t>
      </w:r>
      <w:r>
        <w:rPr>
          <w:rFonts w:hint="eastAsia" w:ascii="仿宋" w:hAnsi="仿宋" w:eastAsia="仿宋" w:cs="仿宋"/>
          <w:kern w:val="0"/>
          <w:sz w:val="32"/>
          <w:szCs w:val="32"/>
          <w:lang w:val="en-US" w:eastAsia="zh-CN"/>
        </w:rPr>
        <w:t>授权更新服务</w:t>
      </w:r>
      <w:r>
        <w:rPr>
          <w:rFonts w:hint="eastAsia" w:ascii="仿宋" w:hAnsi="仿宋" w:eastAsia="仿宋" w:cs="仿宋"/>
          <w:kern w:val="0"/>
          <w:sz w:val="32"/>
          <w:szCs w:val="32"/>
        </w:rPr>
        <w:t>。</w:t>
      </w:r>
    </w:p>
    <w:p w14:paraId="2D4E7782">
      <w:pPr>
        <w:pStyle w:val="2"/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二、入侵防御系统授权更新服务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技术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要求</w:t>
      </w:r>
    </w:p>
    <w:p w14:paraId="3F9434F7">
      <w:pPr>
        <w:pStyle w:val="2"/>
        <w:numPr>
          <w:ilvl w:val="0"/>
          <w:numId w:val="0"/>
        </w:numPr>
        <w:ind w:firstLine="643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入侵防御系统授权更新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服务内容</w:t>
      </w:r>
    </w:p>
    <w:tbl>
      <w:tblPr>
        <w:tblStyle w:val="30"/>
        <w:tblW w:w="605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46"/>
        <w:gridCol w:w="6667"/>
        <w:gridCol w:w="1001"/>
        <w:gridCol w:w="1001"/>
      </w:tblGrid>
      <w:tr w14:paraId="63CBB0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8" w:type="pct"/>
          </w:tcPr>
          <w:p w14:paraId="1E19F8C0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服务名称</w:t>
            </w:r>
          </w:p>
        </w:tc>
        <w:tc>
          <w:tcPr>
            <w:tcW w:w="3231" w:type="pct"/>
          </w:tcPr>
          <w:p w14:paraId="13F3985E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服务内容</w:t>
            </w:r>
          </w:p>
        </w:tc>
        <w:tc>
          <w:tcPr>
            <w:tcW w:w="485" w:type="pct"/>
          </w:tcPr>
          <w:p w14:paraId="3AC92D65">
            <w:pPr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数量</w:t>
            </w:r>
          </w:p>
        </w:tc>
        <w:tc>
          <w:tcPr>
            <w:tcW w:w="485" w:type="pct"/>
          </w:tcPr>
          <w:p w14:paraId="2974A59B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单位</w:t>
            </w:r>
          </w:p>
        </w:tc>
      </w:tr>
      <w:tr w14:paraId="015ED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9" w:hRule="atLeast"/>
          <w:jc w:val="center"/>
        </w:trPr>
        <w:tc>
          <w:tcPr>
            <w:tcW w:w="798" w:type="pct"/>
            <w:shd w:val="clear" w:color="auto" w:fill="FFFFFF"/>
            <w:vAlign w:val="center"/>
          </w:tcPr>
          <w:p w14:paraId="7D45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入侵防御系统授权更新服务</w:t>
            </w:r>
          </w:p>
        </w:tc>
        <w:tc>
          <w:tcPr>
            <w:tcW w:w="3231" w:type="pct"/>
            <w:shd w:val="clear" w:color="auto" w:fill="FFFFFF"/>
            <w:vAlign w:val="center"/>
          </w:tcPr>
          <w:p w14:paraId="02F93E91">
            <w:pPr>
              <w:pStyle w:val="2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1、攻击检测特征库升级服务许可2年，攻击特征知识库应&gt;5000条规则。</w:t>
            </w:r>
          </w:p>
          <w:p w14:paraId="7A8F3E03">
            <w:pPr>
              <w:pStyle w:val="2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2、应用识别库升级许可，应用程序识别知识库应&gt;2000条规则。</w:t>
            </w:r>
          </w:p>
          <w:p w14:paraId="4B642BA1">
            <w:pPr>
              <w:pStyle w:val="2"/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3、定期巡检服务。巡检内容包括但不限于以下方面:设备运行状况，安全防护情况，各类配置调整，软件升级，故障处理等，每次巡检要提交电子版巡检报告。</w:t>
            </w:r>
          </w:p>
          <w:p w14:paraId="2B20679E"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4、提供加盖供应商公章的售后服务承诺函。</w:t>
            </w:r>
          </w:p>
        </w:tc>
        <w:tc>
          <w:tcPr>
            <w:tcW w:w="485" w:type="pct"/>
            <w:vAlign w:val="center"/>
          </w:tcPr>
          <w:p w14:paraId="5DF84927">
            <w:pPr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485" w:type="pct"/>
            <w:vAlign w:val="center"/>
          </w:tcPr>
          <w:p w14:paraId="37744CCD">
            <w:pPr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套</w:t>
            </w:r>
            <w:bookmarkStart w:id="1" w:name="_GoBack"/>
            <w:bookmarkEnd w:id="1"/>
          </w:p>
        </w:tc>
      </w:tr>
    </w:tbl>
    <w:p w14:paraId="7CA1BD52">
      <w:pPr>
        <w:pStyle w:val="2"/>
        <w:rPr>
          <w:rFonts w:hint="eastAsia" w:ascii="楷体" w:hAnsi="楷体" w:eastAsia="楷体" w:cs="楷体"/>
          <w:b/>
          <w:bCs/>
          <w:kern w:val="2"/>
          <w:sz w:val="32"/>
          <w:szCs w:val="32"/>
          <w:lang w:val="en-US" w:eastAsia="zh-CN" w:bidi="ar-SA"/>
        </w:rPr>
      </w:pPr>
    </w:p>
    <w:p w14:paraId="7A0F6D33">
      <w:pPr>
        <w:pStyle w:val="3"/>
        <w:rPr>
          <w:rFonts w:hint="eastAsia"/>
          <w:lang w:val="en-US" w:eastAsia="zh-CN"/>
        </w:rPr>
      </w:pPr>
    </w:p>
    <w:p w14:paraId="653EF6D6">
      <w:pPr>
        <w:numPr>
          <w:ilvl w:val="0"/>
          <w:numId w:val="0"/>
        </w:numPr>
        <w:ind w:firstLine="640" w:firstLineChars="200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kern w:val="2"/>
          <w:sz w:val="32"/>
          <w:szCs w:val="32"/>
          <w:lang w:val="en-US" w:eastAsia="zh-CN" w:bidi="ar-SA"/>
        </w:rPr>
        <w:t>（二）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安全保障</w:t>
      </w:r>
    </w:p>
    <w:p w14:paraId="2EB15A9B">
      <w:pPr>
        <w:pStyle w:val="21"/>
        <w:spacing w:line="360" w:lineRule="auto"/>
        <w:ind w:firstLine="640" w:firstLineChars="200"/>
        <w:rPr>
          <w:rFonts w:hint="default" w:cs="仿宋"/>
          <w:color w:val="000000"/>
          <w:sz w:val="32"/>
          <w:szCs w:val="32"/>
          <w:lang w:val="en-US" w:eastAsia="zh-CN" w:bidi="ar"/>
        </w:rPr>
      </w:pPr>
      <w:r>
        <w:rPr>
          <w:rFonts w:hint="eastAsia" w:cs="仿宋"/>
          <w:color w:val="000000"/>
          <w:sz w:val="32"/>
          <w:szCs w:val="32"/>
          <w:lang w:val="en-US" w:eastAsia="zh-CN" w:bidi="ar"/>
        </w:rPr>
        <w:t>授权服务包含攻击检测规则库和应用识别规则库的年度升级。这确保了系统能够识别和防御最新的网络攻击（如DDoS攻击、恶意程序、APT攻击等）‌，系统集成了十大安全功能，包括攻击防护、WEB安全防护、弱口令检测、僵尸主机检测等，授权更新服务通过保持规则库最新，间接强化了这些功能的防护效果‌。</w:t>
      </w:r>
    </w:p>
    <w:p w14:paraId="1EFF4142">
      <w:pPr>
        <w:pStyle w:val="21"/>
        <w:spacing w:line="360" w:lineRule="auto"/>
        <w:ind w:firstLine="640" w:firstLineChars="200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）服务期要求</w:t>
      </w:r>
    </w:p>
    <w:p w14:paraId="75511EF1">
      <w:pPr>
        <w:pStyle w:val="21"/>
        <w:spacing w:line="360" w:lineRule="auto"/>
        <w:ind w:firstLine="640" w:firstLineChars="200"/>
        <w:rPr>
          <w:rFonts w:hint="eastAsia" w:cs="仿宋"/>
          <w:color w:val="000000"/>
          <w:sz w:val="32"/>
          <w:szCs w:val="32"/>
          <w:lang w:val="en-US" w:eastAsia="zh-CN" w:bidi="ar"/>
        </w:rPr>
      </w:pPr>
      <w:r>
        <w:rPr>
          <w:rFonts w:hint="eastAsia" w:cs="仿宋"/>
          <w:color w:val="000000"/>
          <w:sz w:val="32"/>
          <w:szCs w:val="32"/>
          <w:lang w:val="en-US" w:eastAsia="zh-CN" w:bidi="ar"/>
        </w:rPr>
        <w:t>保质期2年</w:t>
      </w:r>
    </w:p>
    <w:p w14:paraId="0DE557D2">
      <w:pPr>
        <w:pStyle w:val="21"/>
        <w:spacing w:line="360" w:lineRule="auto"/>
        <w:ind w:firstLine="640" w:firstLineChars="200"/>
        <w:rPr>
          <w:rFonts w:hint="eastAsia" w:ascii="楷体" w:hAnsi="楷体" w:eastAsia="楷体" w:cs="楷体"/>
          <w:b w:val="0"/>
          <w:bCs w:val="0"/>
          <w:sz w:val="32"/>
          <w:szCs w:val="32"/>
        </w:rPr>
      </w:pP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（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  <w:lang w:val="en-US" w:eastAsia="zh-CN"/>
        </w:rPr>
        <w:t>四</w:t>
      </w:r>
      <w:r>
        <w:rPr>
          <w:rFonts w:hint="eastAsia" w:ascii="楷体" w:hAnsi="楷体" w:eastAsia="楷体" w:cs="楷体"/>
          <w:b w:val="0"/>
          <w:bCs w:val="0"/>
          <w:sz w:val="32"/>
          <w:szCs w:val="32"/>
        </w:rPr>
        <w:t>）付款方式要求</w:t>
      </w:r>
    </w:p>
    <w:tbl>
      <w:tblPr>
        <w:tblStyle w:val="29"/>
        <w:tblW w:w="4998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30"/>
        <w:gridCol w:w="5489"/>
      </w:tblGrid>
      <w:tr w14:paraId="66924BB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</w:tblPrEx>
        <w:trPr>
          <w:trHeight w:val="378" w:hRule="atLeast"/>
          <w:jc w:val="center"/>
        </w:trPr>
        <w:tc>
          <w:tcPr>
            <w:tcW w:w="17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CB7C5">
            <w:pPr>
              <w:pStyle w:val="26"/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付款比例（%）</w:t>
            </w:r>
          </w:p>
        </w:tc>
        <w:tc>
          <w:tcPr>
            <w:tcW w:w="32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2E259">
            <w:pPr>
              <w:pStyle w:val="26"/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付款条件</w:t>
            </w:r>
          </w:p>
        </w:tc>
      </w:tr>
      <w:tr w14:paraId="404C3B5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7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DF521">
            <w:pPr>
              <w:pStyle w:val="26"/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0.00</w:t>
            </w:r>
          </w:p>
        </w:tc>
        <w:tc>
          <w:tcPr>
            <w:tcW w:w="32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1A2B8">
            <w:pPr>
              <w:pStyle w:val="26"/>
              <w:spacing w:line="360" w:lineRule="auto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bidi="ar"/>
              </w:rPr>
              <w:t>合同签订后30日内</w:t>
            </w:r>
          </w:p>
        </w:tc>
      </w:tr>
    </w:tbl>
    <w:p w14:paraId="351D42A0">
      <w:pPr>
        <w:spacing w:line="360" w:lineRule="auto"/>
        <w:ind w:firstLine="643" w:firstLineChars="200"/>
        <w:rPr>
          <w:rFonts w:ascii="宋体" w:hAnsi="宋体" w:eastAsia="宋体"/>
          <w:b/>
          <w:bCs/>
          <w:sz w:val="28"/>
          <w:szCs w:val="32"/>
        </w:rPr>
      </w:pPr>
      <w:bookmarkStart w:id="0" w:name="_Toc16687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三、项目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标准</w:t>
      </w:r>
    </w:p>
    <w:p w14:paraId="6597BDDD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bidi="ar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bidi="ar"/>
        </w:rPr>
        <w:t>符合《GBT22239-2019信息安全技术网络安全等级保护基本要求》、《GBT25070-2019信息安全技术网络安全等级保护安全设计技术要求》、《GBT28448-2019信息安全技术网络安全等级保护测评要求》相关内容要求</w:t>
      </w:r>
    </w:p>
    <w:p w14:paraId="2E5D6F97">
      <w:pPr>
        <w:numPr>
          <w:ilvl w:val="0"/>
          <w:numId w:val="0"/>
        </w:numPr>
        <w:spacing w:line="360" w:lineRule="auto"/>
        <w:ind w:firstLine="643" w:firstLineChars="200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lang w:val="en-US" w:eastAsia="zh-CN" w:bidi="ar-SA"/>
        </w:rPr>
        <w:t>四、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供应商应提交的商务和技术响应文件</w:t>
      </w:r>
    </w:p>
    <w:p w14:paraId="2D656FA0">
      <w:pPr>
        <w:pStyle w:val="21"/>
        <w:spacing w:line="360" w:lineRule="auto"/>
        <w:ind w:firstLine="420" w:firstLineChars="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</w:t>
      </w:r>
      <w:r>
        <w:rPr>
          <w:rFonts w:hint="eastAsia" w:ascii="楷体" w:hAnsi="楷体" w:eastAsia="楷体" w:cs="楷体"/>
          <w:b/>
          <w:bCs/>
          <w:sz w:val="32"/>
          <w:szCs w:val="32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32"/>
          <w:szCs w:val="32"/>
        </w:rPr>
        <w:t>基本文件</w:t>
      </w:r>
    </w:p>
    <w:p w14:paraId="6C3F8675">
      <w:pPr>
        <w:pStyle w:val="2"/>
        <w:spacing w:line="360" w:lineRule="auto"/>
        <w:ind w:firstLine="640" w:firstLineChars="200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*法定代表人（或负责人）授权书</w:t>
      </w:r>
    </w:p>
    <w:p w14:paraId="1CD4D90B">
      <w:pPr>
        <w:pStyle w:val="2"/>
        <w:spacing w:line="360" w:lineRule="auto"/>
        <w:ind w:firstLine="640" w:firstLineChars="200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*响应函</w:t>
      </w:r>
    </w:p>
    <w:p w14:paraId="0899762F">
      <w:pPr>
        <w:pStyle w:val="2"/>
        <w:spacing w:line="360" w:lineRule="auto"/>
        <w:ind w:firstLine="640" w:firstLineChars="200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*报价一览表</w:t>
      </w:r>
    </w:p>
    <w:p w14:paraId="3EF8EB5F">
      <w:pPr>
        <w:pStyle w:val="21"/>
        <w:spacing w:line="360" w:lineRule="auto"/>
        <w:ind w:firstLine="420" w:firstLineChars="0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（二）资格证明文件</w:t>
      </w:r>
    </w:p>
    <w:p w14:paraId="7F50A24B">
      <w:pPr>
        <w:pStyle w:val="3"/>
        <w:spacing w:line="360" w:lineRule="auto"/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1、*供应商的营业执照（需提供工商行政管理部门核发加载统一社会信用代码的营业执照）（复印件加盖公章）</w:t>
      </w:r>
    </w:p>
    <w:p w14:paraId="576C9C97">
      <w:pPr>
        <w:pStyle w:val="3"/>
        <w:spacing w:line="360" w:lineRule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*供应商提供评审日前3年内在经营活动中没有重大违法记录的书面声明（原件，格式自拟）</w:t>
      </w:r>
    </w:p>
    <w:p w14:paraId="40E953DC">
      <w:pPr>
        <w:pStyle w:val="3"/>
        <w:spacing w:line="360" w:lineRule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*具有履行合同所必需的设备和专业技术能力，并出具资格声明</w:t>
      </w:r>
    </w:p>
    <w:p w14:paraId="148A7F13">
      <w:pPr>
        <w:pStyle w:val="3"/>
        <w:spacing w:line="360" w:lineRule="auto"/>
        <w:rPr>
          <w:rFonts w:hint="eastAsia" w:ascii="仿宋" w:hAnsi="仿宋" w:eastAsia="仿宋" w:cs="仿宋"/>
          <w:bCs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Cs/>
          <w:color w:val="000000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bCs/>
          <w:color w:val="000000"/>
          <w:sz w:val="32"/>
          <w:szCs w:val="32"/>
        </w:rPr>
        <w:t>*供应商须提供中小企业声明函</w:t>
      </w:r>
    </w:p>
    <w:p w14:paraId="37D5FABA">
      <w:pPr>
        <w:spacing w:line="360" w:lineRule="auto"/>
        <w:ind w:firstLine="643" w:firstLineChars="200"/>
        <w:rPr>
          <w:b/>
          <w:bCs/>
        </w:rPr>
      </w:pPr>
      <w:r>
        <w:rPr>
          <w:rFonts w:hint="eastAsia" w:ascii="仿宋" w:hAnsi="仿宋" w:eastAsia="仿宋" w:cs="仿宋"/>
          <w:b/>
          <w:bCs/>
          <w:color w:val="000000"/>
          <w:sz w:val="32"/>
          <w:szCs w:val="32"/>
        </w:rPr>
        <w:t>上述文件带*的条款为供应商必须达到的资质要求，如有任意一条未实质响应将按无效处理。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1DB"/>
    <w:rsid w:val="00032DDC"/>
    <w:rsid w:val="00046DEC"/>
    <w:rsid w:val="00047EEB"/>
    <w:rsid w:val="00074DC3"/>
    <w:rsid w:val="00080EC6"/>
    <w:rsid w:val="00096612"/>
    <w:rsid w:val="000C1733"/>
    <w:rsid w:val="00126111"/>
    <w:rsid w:val="001445D1"/>
    <w:rsid w:val="00174200"/>
    <w:rsid w:val="0019794C"/>
    <w:rsid w:val="001A508E"/>
    <w:rsid w:val="001B1ED4"/>
    <w:rsid w:val="00207952"/>
    <w:rsid w:val="00242B2E"/>
    <w:rsid w:val="002652B2"/>
    <w:rsid w:val="00275E0E"/>
    <w:rsid w:val="00283175"/>
    <w:rsid w:val="00283B8E"/>
    <w:rsid w:val="0029082C"/>
    <w:rsid w:val="00293A9C"/>
    <w:rsid w:val="002A163C"/>
    <w:rsid w:val="002A6942"/>
    <w:rsid w:val="002C4449"/>
    <w:rsid w:val="002E0440"/>
    <w:rsid w:val="002E1276"/>
    <w:rsid w:val="002F3B27"/>
    <w:rsid w:val="00304842"/>
    <w:rsid w:val="00307A16"/>
    <w:rsid w:val="003168B0"/>
    <w:rsid w:val="00376548"/>
    <w:rsid w:val="003A0349"/>
    <w:rsid w:val="003A75D6"/>
    <w:rsid w:val="003B0016"/>
    <w:rsid w:val="003C6576"/>
    <w:rsid w:val="003E73F5"/>
    <w:rsid w:val="003F4440"/>
    <w:rsid w:val="00410CF0"/>
    <w:rsid w:val="00421E9F"/>
    <w:rsid w:val="00423E9A"/>
    <w:rsid w:val="00433671"/>
    <w:rsid w:val="004349DE"/>
    <w:rsid w:val="00474C61"/>
    <w:rsid w:val="00480A90"/>
    <w:rsid w:val="004914EA"/>
    <w:rsid w:val="00495CF3"/>
    <w:rsid w:val="004A0864"/>
    <w:rsid w:val="004B4CFC"/>
    <w:rsid w:val="00501991"/>
    <w:rsid w:val="0051759F"/>
    <w:rsid w:val="005253C1"/>
    <w:rsid w:val="00530787"/>
    <w:rsid w:val="005553ED"/>
    <w:rsid w:val="005556F0"/>
    <w:rsid w:val="00586361"/>
    <w:rsid w:val="005A1BAE"/>
    <w:rsid w:val="005B6FE8"/>
    <w:rsid w:val="005C2165"/>
    <w:rsid w:val="005C3393"/>
    <w:rsid w:val="005F3C92"/>
    <w:rsid w:val="005F5FB8"/>
    <w:rsid w:val="0061092D"/>
    <w:rsid w:val="00636817"/>
    <w:rsid w:val="00637661"/>
    <w:rsid w:val="006640BF"/>
    <w:rsid w:val="006800B4"/>
    <w:rsid w:val="006A6972"/>
    <w:rsid w:val="006B3F65"/>
    <w:rsid w:val="006C4C25"/>
    <w:rsid w:val="00711589"/>
    <w:rsid w:val="00714238"/>
    <w:rsid w:val="0075268E"/>
    <w:rsid w:val="007831DB"/>
    <w:rsid w:val="00784FC3"/>
    <w:rsid w:val="00796531"/>
    <w:rsid w:val="007979C0"/>
    <w:rsid w:val="007A389C"/>
    <w:rsid w:val="007C6E79"/>
    <w:rsid w:val="007D37C1"/>
    <w:rsid w:val="007E1A1C"/>
    <w:rsid w:val="00822346"/>
    <w:rsid w:val="00825379"/>
    <w:rsid w:val="00857944"/>
    <w:rsid w:val="008A0B34"/>
    <w:rsid w:val="008B23CF"/>
    <w:rsid w:val="008B3ABB"/>
    <w:rsid w:val="008C05F3"/>
    <w:rsid w:val="008E5F2F"/>
    <w:rsid w:val="009036E9"/>
    <w:rsid w:val="00947261"/>
    <w:rsid w:val="00970E7B"/>
    <w:rsid w:val="009A35CB"/>
    <w:rsid w:val="009B74E6"/>
    <w:rsid w:val="00A02A14"/>
    <w:rsid w:val="00A157A7"/>
    <w:rsid w:val="00A47C72"/>
    <w:rsid w:val="00A648CE"/>
    <w:rsid w:val="00AB46EA"/>
    <w:rsid w:val="00AC36BB"/>
    <w:rsid w:val="00AE434D"/>
    <w:rsid w:val="00AE4A08"/>
    <w:rsid w:val="00AF629F"/>
    <w:rsid w:val="00B0087D"/>
    <w:rsid w:val="00B05285"/>
    <w:rsid w:val="00B07515"/>
    <w:rsid w:val="00B1628E"/>
    <w:rsid w:val="00B219AB"/>
    <w:rsid w:val="00B27615"/>
    <w:rsid w:val="00B65594"/>
    <w:rsid w:val="00BA1B6A"/>
    <w:rsid w:val="00BC08C1"/>
    <w:rsid w:val="00BE2F07"/>
    <w:rsid w:val="00C150B1"/>
    <w:rsid w:val="00C31FFA"/>
    <w:rsid w:val="00C446F7"/>
    <w:rsid w:val="00C56779"/>
    <w:rsid w:val="00CB212E"/>
    <w:rsid w:val="00CB4F33"/>
    <w:rsid w:val="00CB59C7"/>
    <w:rsid w:val="00CD10F2"/>
    <w:rsid w:val="00CD4AE9"/>
    <w:rsid w:val="00CD7D75"/>
    <w:rsid w:val="00CE253D"/>
    <w:rsid w:val="00D0332E"/>
    <w:rsid w:val="00D12B85"/>
    <w:rsid w:val="00D42E6F"/>
    <w:rsid w:val="00D55E1C"/>
    <w:rsid w:val="00D90015"/>
    <w:rsid w:val="00D92CDC"/>
    <w:rsid w:val="00DE2B37"/>
    <w:rsid w:val="00DE790A"/>
    <w:rsid w:val="00E22454"/>
    <w:rsid w:val="00E26A7E"/>
    <w:rsid w:val="00E352DF"/>
    <w:rsid w:val="00E92A19"/>
    <w:rsid w:val="00EA7434"/>
    <w:rsid w:val="00ED22B6"/>
    <w:rsid w:val="00ED262F"/>
    <w:rsid w:val="00EF0655"/>
    <w:rsid w:val="00F31BCA"/>
    <w:rsid w:val="00F45D5D"/>
    <w:rsid w:val="00F47373"/>
    <w:rsid w:val="00F629FE"/>
    <w:rsid w:val="00FB0D4A"/>
    <w:rsid w:val="00FC1C1F"/>
    <w:rsid w:val="02C62933"/>
    <w:rsid w:val="036839EA"/>
    <w:rsid w:val="03FB660C"/>
    <w:rsid w:val="086329D2"/>
    <w:rsid w:val="09EA0C98"/>
    <w:rsid w:val="0A0501E5"/>
    <w:rsid w:val="0A96708F"/>
    <w:rsid w:val="0B386398"/>
    <w:rsid w:val="0BB21CA6"/>
    <w:rsid w:val="0C611B23"/>
    <w:rsid w:val="0D080387"/>
    <w:rsid w:val="0EF56A7A"/>
    <w:rsid w:val="10613C9B"/>
    <w:rsid w:val="106A6FF4"/>
    <w:rsid w:val="117143B2"/>
    <w:rsid w:val="12723F3D"/>
    <w:rsid w:val="1332191F"/>
    <w:rsid w:val="139F6FB4"/>
    <w:rsid w:val="15153F6A"/>
    <w:rsid w:val="16E15B36"/>
    <w:rsid w:val="16EF2001"/>
    <w:rsid w:val="17E7717C"/>
    <w:rsid w:val="18E30B32"/>
    <w:rsid w:val="191B532F"/>
    <w:rsid w:val="19BA0697"/>
    <w:rsid w:val="19E74EFE"/>
    <w:rsid w:val="1A2226ED"/>
    <w:rsid w:val="1AF5395E"/>
    <w:rsid w:val="1C7D1E5D"/>
    <w:rsid w:val="1CB17D58"/>
    <w:rsid w:val="1D5A219E"/>
    <w:rsid w:val="1E470974"/>
    <w:rsid w:val="1EBB2D98"/>
    <w:rsid w:val="2174165C"/>
    <w:rsid w:val="22F32E79"/>
    <w:rsid w:val="235651B5"/>
    <w:rsid w:val="24065DEF"/>
    <w:rsid w:val="25754019"/>
    <w:rsid w:val="2B620B9B"/>
    <w:rsid w:val="2B7B3A0B"/>
    <w:rsid w:val="2C0F50D6"/>
    <w:rsid w:val="2DDD6BFF"/>
    <w:rsid w:val="2E8B21B7"/>
    <w:rsid w:val="323859C6"/>
    <w:rsid w:val="33D638D2"/>
    <w:rsid w:val="351B1DBB"/>
    <w:rsid w:val="38CF183A"/>
    <w:rsid w:val="39B20F40"/>
    <w:rsid w:val="3A241712"/>
    <w:rsid w:val="3A40479E"/>
    <w:rsid w:val="3B312338"/>
    <w:rsid w:val="3B331B1C"/>
    <w:rsid w:val="3B5878C5"/>
    <w:rsid w:val="3BB6283D"/>
    <w:rsid w:val="3CC64D02"/>
    <w:rsid w:val="3F2A6FBC"/>
    <w:rsid w:val="40866C82"/>
    <w:rsid w:val="40B01F51"/>
    <w:rsid w:val="41BD66D4"/>
    <w:rsid w:val="42B6268A"/>
    <w:rsid w:val="44676DCB"/>
    <w:rsid w:val="44812D1D"/>
    <w:rsid w:val="456B28EB"/>
    <w:rsid w:val="462B0877"/>
    <w:rsid w:val="463B22BD"/>
    <w:rsid w:val="467B6B5D"/>
    <w:rsid w:val="474D2FA3"/>
    <w:rsid w:val="47A10846"/>
    <w:rsid w:val="48054931"/>
    <w:rsid w:val="49A5461D"/>
    <w:rsid w:val="4AE91548"/>
    <w:rsid w:val="4BB23021"/>
    <w:rsid w:val="4BC83C5F"/>
    <w:rsid w:val="4E6F6FA8"/>
    <w:rsid w:val="50831533"/>
    <w:rsid w:val="51974613"/>
    <w:rsid w:val="51DA5094"/>
    <w:rsid w:val="522E0F28"/>
    <w:rsid w:val="54BA4CF5"/>
    <w:rsid w:val="58E9679B"/>
    <w:rsid w:val="58F9403E"/>
    <w:rsid w:val="59E20F76"/>
    <w:rsid w:val="5B611823"/>
    <w:rsid w:val="5DAB05EC"/>
    <w:rsid w:val="643C6AED"/>
    <w:rsid w:val="650D2C1F"/>
    <w:rsid w:val="670F2C7E"/>
    <w:rsid w:val="686626D4"/>
    <w:rsid w:val="69564B94"/>
    <w:rsid w:val="69DA57C5"/>
    <w:rsid w:val="69FC398E"/>
    <w:rsid w:val="6A220F1A"/>
    <w:rsid w:val="6A4B221F"/>
    <w:rsid w:val="6A6652AB"/>
    <w:rsid w:val="6C9E6F7E"/>
    <w:rsid w:val="6D2F5E28"/>
    <w:rsid w:val="6D5128D0"/>
    <w:rsid w:val="6D8F4B19"/>
    <w:rsid w:val="6DBE4C07"/>
    <w:rsid w:val="6DFA6436"/>
    <w:rsid w:val="6E93362F"/>
    <w:rsid w:val="731F7E30"/>
    <w:rsid w:val="737456F6"/>
    <w:rsid w:val="73AD5CF9"/>
    <w:rsid w:val="74177616"/>
    <w:rsid w:val="751A3D00"/>
    <w:rsid w:val="76A3210D"/>
    <w:rsid w:val="77A2369A"/>
    <w:rsid w:val="77BD2282"/>
    <w:rsid w:val="7A9279F6"/>
    <w:rsid w:val="7B4C5DF7"/>
    <w:rsid w:val="7B5353D8"/>
    <w:rsid w:val="7E105802"/>
    <w:rsid w:val="FDF5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3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5">
    <w:name w:val="heading 2"/>
    <w:basedOn w:val="1"/>
    <w:next w:val="1"/>
    <w:link w:val="35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6">
    <w:name w:val="heading 3"/>
    <w:basedOn w:val="1"/>
    <w:next w:val="1"/>
    <w:link w:val="36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sz w:val="32"/>
      <w:szCs w:val="32"/>
    </w:rPr>
  </w:style>
  <w:style w:type="paragraph" w:styleId="7">
    <w:name w:val="heading 4"/>
    <w:basedOn w:val="1"/>
    <w:next w:val="1"/>
    <w:link w:val="37"/>
    <w:unhideWhenUsed/>
    <w:qFormat/>
    <w:uiPriority w:val="9"/>
    <w:pPr>
      <w:keepNext/>
      <w:keepLines/>
      <w:spacing w:before="80" w:after="40"/>
      <w:outlineLvl w:val="3"/>
    </w:pPr>
    <w:rPr>
      <w:rFonts w:eastAsia="仿宋" w:cstheme="majorBidi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paragraph" w:styleId="8">
    <w:name w:val="heading 5"/>
    <w:basedOn w:val="1"/>
    <w:next w:val="1"/>
    <w:link w:val="38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9">
    <w:name w:val="heading 6"/>
    <w:basedOn w:val="1"/>
    <w:next w:val="1"/>
    <w:link w:val="39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10">
    <w:name w:val="heading 7"/>
    <w:basedOn w:val="1"/>
    <w:next w:val="1"/>
    <w:link w:val="40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41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42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31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28"/>
    </w:rPr>
  </w:style>
  <w:style w:type="paragraph" w:customStyle="1" w:styleId="3">
    <w:name w:val="正文11"/>
    <w:qFormat/>
    <w:uiPriority w:val="0"/>
    <w:pPr>
      <w:widowControl w:val="0"/>
      <w:adjustRightInd w:val="0"/>
      <w:snapToGrid w:val="0"/>
      <w:spacing w:line="360" w:lineRule="auto"/>
      <w:ind w:firstLine="200" w:firstLineChars="200"/>
      <w:jc w:val="both"/>
    </w:pPr>
    <w:rPr>
      <w:rFonts w:ascii="Times New Roman" w:hAnsi="Times New Roman" w:eastAsia="宋体" w:cs="宋体"/>
      <w:kern w:val="2"/>
      <w:sz w:val="28"/>
      <w:lang w:val="en-US" w:eastAsia="zh-CN" w:bidi="ar-SA"/>
    </w:rPr>
  </w:style>
  <w:style w:type="paragraph" w:styleId="13">
    <w:name w:val="Normal Indent"/>
    <w:basedOn w:val="1"/>
    <w:unhideWhenUsed/>
    <w:qFormat/>
    <w:uiPriority w:val="0"/>
    <w:pPr>
      <w:ind w:firstLine="420" w:firstLineChars="200"/>
    </w:pPr>
    <w:rPr>
      <w:rFonts w:ascii="Calibri" w:hAnsi="Calibri" w:eastAsia="宋体" w:cs="Times New Roman"/>
      <w:szCs w:val="24"/>
    </w:rPr>
  </w:style>
  <w:style w:type="paragraph" w:styleId="14">
    <w:name w:val="caption"/>
    <w:basedOn w:val="1"/>
    <w:next w:val="1"/>
    <w:semiHidden/>
    <w:unhideWhenUsed/>
    <w:qFormat/>
    <w:uiPriority w:val="0"/>
    <w:pPr>
      <w:kinsoku w:val="0"/>
      <w:adjustRightInd w:val="0"/>
      <w:snapToGrid w:val="0"/>
      <w:ind w:firstLine="3584"/>
    </w:pPr>
    <w:rPr>
      <w:rFonts w:ascii="Arial" w:hAnsi="Arial" w:eastAsia="Arial" w:cs="Arial"/>
      <w:color w:val="000000"/>
      <w:kern w:val="0"/>
      <w:szCs w:val="21"/>
    </w:rPr>
  </w:style>
  <w:style w:type="paragraph" w:styleId="15">
    <w:name w:val="Document Map"/>
    <w:basedOn w:val="1"/>
    <w:next w:val="16"/>
    <w:qFormat/>
    <w:uiPriority w:val="0"/>
    <w:pPr>
      <w:ind w:left="102"/>
    </w:pPr>
    <w:rPr>
      <w:rFonts w:ascii="宋体"/>
      <w:sz w:val="18"/>
      <w:szCs w:val="18"/>
    </w:rPr>
  </w:style>
  <w:style w:type="paragraph" w:styleId="16">
    <w:name w:val="Body Text First Indent 2"/>
    <w:basedOn w:val="17"/>
    <w:next w:val="18"/>
    <w:qFormat/>
    <w:uiPriority w:val="0"/>
    <w:pPr>
      <w:ind w:firstLine="420" w:firstLineChars="200"/>
    </w:pPr>
  </w:style>
  <w:style w:type="paragraph" w:styleId="17">
    <w:name w:val="Body Text Indent"/>
    <w:basedOn w:val="1"/>
    <w:next w:val="1"/>
    <w:qFormat/>
    <w:uiPriority w:val="0"/>
    <w:pPr>
      <w:spacing w:after="120"/>
      <w:ind w:left="200" w:leftChars="200"/>
    </w:pPr>
  </w:style>
  <w:style w:type="paragraph" w:styleId="18">
    <w:name w:val="Body Text First Indent"/>
    <w:basedOn w:val="2"/>
    <w:next w:val="1"/>
    <w:qFormat/>
    <w:uiPriority w:val="0"/>
    <w:pPr>
      <w:spacing w:line="360" w:lineRule="auto"/>
      <w:ind w:firstLine="200" w:firstLineChars="200"/>
    </w:pPr>
    <w:rPr>
      <w:sz w:val="24"/>
      <w:szCs w:val="21"/>
    </w:rPr>
  </w:style>
  <w:style w:type="paragraph" w:styleId="19">
    <w:name w:val="Block Text"/>
    <w:basedOn w:val="1"/>
    <w:next w:val="15"/>
    <w:qFormat/>
    <w:uiPriority w:val="0"/>
    <w:pPr>
      <w:autoSpaceDE w:val="0"/>
      <w:autoSpaceDN w:val="0"/>
      <w:adjustRightInd w:val="0"/>
      <w:spacing w:line="500" w:lineRule="exact"/>
      <w:ind w:left="391" w:right="246"/>
    </w:pPr>
    <w:rPr>
      <w:rFonts w:ascii="仿宋_GB2312" w:eastAsia="仿宋_GB2312"/>
      <w:kern w:val="0"/>
      <w:sz w:val="24"/>
    </w:rPr>
  </w:style>
  <w:style w:type="paragraph" w:styleId="20">
    <w:name w:val="index 4"/>
    <w:basedOn w:val="1"/>
    <w:next w:val="1"/>
    <w:qFormat/>
    <w:uiPriority w:val="0"/>
    <w:pPr>
      <w:spacing w:line="360" w:lineRule="auto"/>
      <w:ind w:firstLine="800" w:firstLineChars="200"/>
    </w:pPr>
    <w:rPr>
      <w:rFonts w:ascii="Times New Roman" w:hAnsi="Times New Roman"/>
      <w:sz w:val="24"/>
    </w:rPr>
  </w:style>
  <w:style w:type="paragraph" w:styleId="21">
    <w:name w:val="Plain Text"/>
    <w:basedOn w:val="1"/>
    <w:link w:val="59"/>
    <w:autoRedefine/>
    <w:qFormat/>
    <w:uiPriority w:val="99"/>
    <w:pPr>
      <w:spacing w:line="460" w:lineRule="exact"/>
    </w:pPr>
    <w:rPr>
      <w:rFonts w:ascii="仿宋" w:hAnsi="仿宋" w:eastAsia="仿宋" w:cs="宋体"/>
      <w:sz w:val="28"/>
      <w:szCs w:val="28"/>
    </w:rPr>
  </w:style>
  <w:style w:type="paragraph" w:styleId="22">
    <w:name w:val="Date"/>
    <w:basedOn w:val="1"/>
    <w:next w:val="1"/>
    <w:link w:val="54"/>
    <w:semiHidden/>
    <w:unhideWhenUsed/>
    <w:qFormat/>
    <w:uiPriority w:val="99"/>
    <w:pPr>
      <w:ind w:left="100" w:leftChars="2500"/>
    </w:pPr>
  </w:style>
  <w:style w:type="paragraph" w:styleId="23">
    <w:name w:val="footer"/>
    <w:basedOn w:val="1"/>
    <w:link w:val="5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24">
    <w:name w:val="header"/>
    <w:basedOn w:val="1"/>
    <w:link w:val="5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5">
    <w:name w:val="Subtitle"/>
    <w:basedOn w:val="1"/>
    <w:next w:val="1"/>
    <w:link w:val="4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Body Text 2"/>
    <w:basedOn w:val="1"/>
    <w:next w:val="1"/>
    <w:qFormat/>
    <w:uiPriority w:val="0"/>
    <w:pPr>
      <w:spacing w:after="120" w:line="480" w:lineRule="auto"/>
      <w:ind w:left="102"/>
    </w:pPr>
  </w:style>
  <w:style w:type="paragraph" w:styleId="27">
    <w:name w:val="Normal (Web)"/>
    <w:basedOn w:val="1"/>
    <w:next w:val="19"/>
    <w:semiHidden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28">
    <w:name w:val="Title"/>
    <w:basedOn w:val="1"/>
    <w:next w:val="1"/>
    <w:link w:val="4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30">
    <w:name w:val="Table Grid"/>
    <w:basedOn w:val="29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2">
    <w:name w:val="Strong"/>
    <w:basedOn w:val="31"/>
    <w:qFormat/>
    <w:uiPriority w:val="22"/>
    <w:rPr>
      <w:b/>
    </w:rPr>
  </w:style>
  <w:style w:type="paragraph" w:customStyle="1" w:styleId="33">
    <w:name w:val="_Style 12"/>
    <w:basedOn w:val="1"/>
    <w:next w:val="1"/>
    <w:autoRedefine/>
    <w:unhideWhenUsed/>
    <w:qFormat/>
    <w:uiPriority w:val="39"/>
    <w:pPr>
      <w:widowControl/>
      <w:tabs>
        <w:tab w:val="right" w:leader="dot" w:pos="8290"/>
      </w:tabs>
      <w:spacing w:beforeAutospacing="1" w:afterAutospacing="1" w:line="60" w:lineRule="auto"/>
      <w:ind w:left="450" w:leftChars="450" w:right="100" w:rightChars="100"/>
      <w:contextualSpacing/>
      <w:jc w:val="left"/>
    </w:pPr>
    <w:rPr>
      <w:rFonts w:ascii="Calibri" w:hAnsi="Calibri" w:eastAsia="宋体" w:cs="Times New Roman"/>
      <w:kern w:val="0"/>
      <w:sz w:val="22"/>
    </w:rPr>
  </w:style>
  <w:style w:type="character" w:customStyle="1" w:styleId="34">
    <w:name w:val="标题 1 字符"/>
    <w:basedOn w:val="31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35">
    <w:name w:val="标题 2 字符"/>
    <w:basedOn w:val="31"/>
    <w:link w:val="5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36">
    <w:name w:val="标题 3 字符"/>
    <w:basedOn w:val="31"/>
    <w:link w:val="6"/>
    <w:qFormat/>
    <w:uiPriority w:val="9"/>
    <w:rPr>
      <w:rFonts w:asciiTheme="majorHAnsi" w:hAnsiTheme="majorHAnsi" w:eastAsiaTheme="majorEastAsia" w:cstheme="majorBidi"/>
      <w:sz w:val="32"/>
      <w:szCs w:val="32"/>
    </w:rPr>
  </w:style>
  <w:style w:type="character" w:customStyle="1" w:styleId="37">
    <w:name w:val="标题 4 字符"/>
    <w:basedOn w:val="31"/>
    <w:link w:val="7"/>
    <w:qFormat/>
    <w:uiPriority w:val="9"/>
    <w:rPr>
      <w:rFonts w:eastAsia="仿宋" w:cstheme="majorBidi"/>
      <w:color w:val="000000" w:themeColor="text1"/>
      <w:sz w:val="28"/>
      <w:szCs w:val="28"/>
      <w14:textFill>
        <w14:solidFill>
          <w14:schemeClr w14:val="tx1"/>
        </w14:solidFill>
      </w14:textFill>
    </w:rPr>
  </w:style>
  <w:style w:type="character" w:customStyle="1" w:styleId="38">
    <w:name w:val="标题 5 字符"/>
    <w:basedOn w:val="31"/>
    <w:link w:val="8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9">
    <w:name w:val="标题 6 字符"/>
    <w:basedOn w:val="31"/>
    <w:link w:val="9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40">
    <w:name w:val="标题 7 字符"/>
    <w:basedOn w:val="31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1">
    <w:name w:val="标题 8 字符"/>
    <w:basedOn w:val="31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2">
    <w:name w:val="标题 9 字符"/>
    <w:basedOn w:val="31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43">
    <w:name w:val="标题 字符"/>
    <w:basedOn w:val="31"/>
    <w:link w:val="2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44">
    <w:name w:val="副标题 字符"/>
    <w:basedOn w:val="31"/>
    <w:link w:val="2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45">
    <w:name w:val="Quote"/>
    <w:basedOn w:val="1"/>
    <w:next w:val="1"/>
    <w:link w:val="4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6">
    <w:name w:val="引用 字符"/>
    <w:basedOn w:val="31"/>
    <w:link w:val="4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7">
    <w:name w:val="List Paragraph"/>
    <w:basedOn w:val="1"/>
    <w:qFormat/>
    <w:uiPriority w:val="34"/>
    <w:pPr>
      <w:ind w:left="720"/>
      <w:contextualSpacing/>
    </w:pPr>
  </w:style>
  <w:style w:type="character" w:customStyle="1" w:styleId="48">
    <w:name w:val="明显强调1"/>
    <w:basedOn w:val="31"/>
    <w:qFormat/>
    <w:uiPriority w:val="21"/>
    <w:rPr>
      <w:i/>
      <w:iCs/>
      <w:color w:val="104862" w:themeColor="accent1" w:themeShade="BF"/>
    </w:rPr>
  </w:style>
  <w:style w:type="paragraph" w:styleId="49">
    <w:name w:val="Intense Quote"/>
    <w:basedOn w:val="1"/>
    <w:next w:val="1"/>
    <w:link w:val="5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50">
    <w:name w:val="明显引用 字符"/>
    <w:basedOn w:val="31"/>
    <w:link w:val="49"/>
    <w:qFormat/>
    <w:uiPriority w:val="30"/>
    <w:rPr>
      <w:i/>
      <w:iCs/>
      <w:color w:val="104862" w:themeColor="accent1" w:themeShade="BF"/>
    </w:rPr>
  </w:style>
  <w:style w:type="character" w:customStyle="1" w:styleId="51">
    <w:name w:val="明显参考1"/>
    <w:basedOn w:val="3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52">
    <w:name w:val="页眉 字符"/>
    <w:basedOn w:val="31"/>
    <w:link w:val="24"/>
    <w:qFormat/>
    <w:uiPriority w:val="99"/>
    <w:rPr>
      <w:sz w:val="18"/>
      <w:szCs w:val="18"/>
    </w:rPr>
  </w:style>
  <w:style w:type="character" w:customStyle="1" w:styleId="53">
    <w:name w:val="页脚 字符"/>
    <w:basedOn w:val="31"/>
    <w:link w:val="23"/>
    <w:qFormat/>
    <w:uiPriority w:val="99"/>
    <w:rPr>
      <w:sz w:val="18"/>
      <w:szCs w:val="18"/>
    </w:rPr>
  </w:style>
  <w:style w:type="character" w:customStyle="1" w:styleId="54">
    <w:name w:val="日期 字符"/>
    <w:basedOn w:val="31"/>
    <w:link w:val="22"/>
    <w:semiHidden/>
    <w:qFormat/>
    <w:uiPriority w:val="99"/>
  </w:style>
  <w:style w:type="paragraph" w:customStyle="1" w:styleId="55">
    <w:name w:val="p0"/>
    <w:basedOn w:val="1"/>
    <w:next w:val="56"/>
    <w:qFormat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paragraph" w:customStyle="1" w:styleId="56">
    <w:name w:val="我的表名"/>
    <w:basedOn w:val="1"/>
    <w:next w:val="27"/>
    <w:qFormat/>
    <w:uiPriority w:val="0"/>
    <w:pPr>
      <w:spacing w:line="500" w:lineRule="exact"/>
      <w:ind w:firstLine="4608"/>
      <w:jc w:val="center"/>
    </w:pPr>
    <w:rPr>
      <w:rFonts w:ascii="宋体"/>
    </w:rPr>
  </w:style>
  <w:style w:type="paragraph" w:customStyle="1" w:styleId="57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cs="宋体"/>
      <w:kern w:val="0"/>
      <w:sz w:val="22"/>
      <w:lang w:val="zh-CN" w:bidi="zh-CN"/>
    </w:rPr>
  </w:style>
  <w:style w:type="paragraph" w:customStyle="1" w:styleId="58">
    <w:name w:val="正文2"/>
    <w:qFormat/>
    <w:uiPriority w:val="0"/>
    <w:rPr>
      <w:rFonts w:ascii="Times New Roman" w:hAnsi="Times New Roman" w:eastAsia="Times New Roman" w:cs="Times New Roman"/>
      <w:sz w:val="24"/>
      <w:szCs w:val="24"/>
      <w:lang w:val="en-US" w:eastAsia="zh-CN" w:bidi="ar-SA"/>
    </w:rPr>
  </w:style>
  <w:style w:type="character" w:customStyle="1" w:styleId="59">
    <w:name w:val="纯文本 字符"/>
    <w:basedOn w:val="31"/>
    <w:link w:val="21"/>
    <w:qFormat/>
    <w:uiPriority w:val="99"/>
    <w:rPr>
      <w:rFonts w:ascii="仿宋" w:hAnsi="仿宋" w:eastAsia="仿宋" w:cs="宋体"/>
      <w:kern w:val="2"/>
      <w:sz w:val="28"/>
      <w:szCs w:val="28"/>
    </w:rPr>
  </w:style>
  <w:style w:type="paragraph" w:customStyle="1" w:styleId="60">
    <w:name w:val="null5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  <w:style w:type="character" w:customStyle="1" w:styleId="61">
    <w:name w:val="其他_"/>
    <w:basedOn w:val="31"/>
    <w:link w:val="62"/>
    <w:qFormat/>
    <w:uiPriority w:val="0"/>
    <w:rPr>
      <w:rFonts w:ascii="宋体" w:hAnsi="宋体" w:cs="宋体"/>
      <w:lang w:val="zh-CN" w:bidi="zh-CN"/>
    </w:rPr>
  </w:style>
  <w:style w:type="paragraph" w:customStyle="1" w:styleId="62">
    <w:name w:val="其他"/>
    <w:basedOn w:val="1"/>
    <w:link w:val="61"/>
    <w:qFormat/>
    <w:uiPriority w:val="0"/>
    <w:pPr>
      <w:spacing w:line="300" w:lineRule="auto"/>
      <w:jc w:val="left"/>
    </w:pPr>
    <w:rPr>
      <w:rFonts w:ascii="宋体" w:hAnsi="宋体" w:eastAsia="宋体" w:cs="宋体"/>
      <w:kern w:val="0"/>
      <w:sz w:val="20"/>
      <w:szCs w:val="2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558</Words>
  <Characters>574</Characters>
  <Lines>31</Lines>
  <Paragraphs>8</Paragraphs>
  <TotalTime>88</TotalTime>
  <ScaleCrop>false</ScaleCrop>
  <LinksUpToDate>false</LinksUpToDate>
  <CharactersWithSpaces>574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2025-07-17T08:47:00Z</dcterms:created>
  <dc:creator>JinKai</dc:creator>
  <cp:lastModifiedBy>柱</cp:lastModifiedBy>
  <dcterms:modified xsi:type="dcterms:W3CDTF">2026-10-30T06:55:08Z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eyJoZGlkIjoiMGEzYTMzZjQ2ZmY1NmI3Zjk1OGZlYjc0YTE5MTBhMmEiLCJ1c2VySWQiOiI2NTYwMzk2NjIifQ==</vt:lpwstr>
  </property>
  <property fmtid="{D5CDD505-2E9C-101B-9397-08002B2CF9AE}" pid="3" name="KSOProductBuildVer">
    <vt:lpwstr>2052-12.1.0.29161</vt:lpwstr>
  </property>
  <property fmtid="{D5CDD505-2E9C-101B-9397-08002B2CF9AE}" pid="4" name="ICV">
    <vt:lpwstr>52C41996C8C4442EA8CDE2853FEA4C0A_13</vt:lpwstr>
  </property>
</Properties>
</file>